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bidi="ar"/>
        </w:rPr>
      </w:pPr>
      <w:bookmarkStart w:id="1" w:name="_GoBack"/>
      <w:r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bidi="ar"/>
        </w:rPr>
        <w:t>潍坊医学院固定资产管理系统（7.0版）</w:t>
      </w:r>
    </w:p>
    <w:p>
      <w:pPr>
        <w:widowControl/>
        <w:jc w:val="center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bidi="ar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bidi="ar"/>
        </w:rPr>
        <w:t>操作手册</w:t>
      </w:r>
    </w:p>
    <w:bookmarkEnd w:id="1"/>
    <w:p>
      <w:pPr>
        <w:widowControl/>
        <w:numPr>
          <w:ilvl w:val="0"/>
          <w:numId w:val="1"/>
        </w:numPr>
        <w:ind w:firstLine="640" w:firstLineChars="200"/>
        <w:jc w:val="left"/>
        <w:rPr>
          <w:rFonts w:hint="eastAsia" w:ascii="仿宋_GB2312" w:hAnsi="宋体" w:eastAsia="仿宋_GB2312" w:cs="宋体"/>
          <w:kern w:val="0"/>
          <w:sz w:val="32"/>
          <w:szCs w:val="32"/>
          <w:lang w:bidi="ar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  <w:lang w:val="en-US" w:eastAsia="zh-CN" w:bidi="ar"/>
        </w:rPr>
        <w:t>登录系统：</w:t>
      </w:r>
      <w:r>
        <w:rPr>
          <w:rFonts w:hint="eastAsia" w:ascii="仿宋_GB2312" w:hAnsi="宋体" w:eastAsia="仿宋_GB2312" w:cs="宋体"/>
          <w:kern w:val="0"/>
          <w:sz w:val="32"/>
          <w:szCs w:val="32"/>
          <w:lang w:bidi="ar"/>
        </w:rPr>
        <w:t>在浏览器地址栏中输入系统登录的IP地址http://210.44.80.28:8081/ZCGL/</w:t>
      </w:r>
      <w:r>
        <w:rPr>
          <w:rFonts w:hint="eastAsia" w:ascii="仿宋_GB2312" w:hAnsi="宋体" w:eastAsia="仿宋_GB2312" w:cs="宋体"/>
          <w:kern w:val="0"/>
          <w:sz w:val="32"/>
          <w:szCs w:val="32"/>
          <w:lang w:val="en-US" w:eastAsia="zh-CN" w:bidi="ar"/>
        </w:rPr>
        <w:t>，</w:t>
      </w:r>
      <w:r>
        <w:rPr>
          <w:rFonts w:hint="eastAsia" w:ascii="仿宋_GB2312" w:hAnsi="宋体" w:eastAsia="仿宋_GB2312" w:cs="宋体"/>
          <w:kern w:val="0"/>
          <w:sz w:val="32"/>
          <w:szCs w:val="32"/>
          <w:lang w:bidi="ar"/>
        </w:rPr>
        <w:t>然后输入用户名称和用户密码，会出现在该用户操作权限内的所有功能菜单。</w:t>
      </w:r>
    </w:p>
    <w:p>
      <w:pPr>
        <w:widowControl/>
        <w:jc w:val="left"/>
        <w:rPr>
          <w:rFonts w:hint="eastAsia" w:ascii="仿宋_GB2312" w:hAnsi="宋体" w:eastAsia="仿宋_GB2312" w:cs="宋体"/>
          <w:kern w:val="0"/>
          <w:sz w:val="32"/>
          <w:szCs w:val="32"/>
          <w:lang w:bidi="ar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5269230" cy="2839085"/>
            <wp:effectExtent l="0" t="0" r="7620" b="18415"/>
            <wp:docPr id="4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hAnsi="宋体" w:eastAsia="仿宋_GB2312" w:cs="宋体"/>
          <w:kern w:val="0"/>
          <w:sz w:val="32"/>
          <w:szCs w:val="32"/>
          <w:lang w:bidi="ar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5120640" cy="2611120"/>
            <wp:effectExtent l="0" t="0" r="3810" b="17780"/>
            <wp:docPr id="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1"/>
        </w:numPr>
        <w:ind w:firstLine="640" w:firstLineChars="200"/>
        <w:jc w:val="left"/>
        <w:rPr>
          <w:rFonts w:hint="eastAsia" w:ascii="仿宋_GB2312" w:hAnsi="宋体" w:eastAsia="仿宋_GB2312" w:cs="宋体"/>
          <w:kern w:val="0"/>
          <w:sz w:val="32"/>
          <w:szCs w:val="32"/>
          <w:lang w:bidi="ar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  <w:lang w:bidi="ar"/>
        </w:rPr>
        <w:t>资产管理员建账。</w:t>
      </w:r>
    </w:p>
    <w:p>
      <w:pPr>
        <w:widowControl/>
        <w:ind w:left="640"/>
        <w:jc w:val="left"/>
        <w:rPr>
          <w:rFonts w:hint="eastAsia" w:ascii="仿宋_GB2312" w:hAnsi="宋体" w:eastAsia="仿宋_GB2312" w:cs="宋体"/>
          <w:kern w:val="0"/>
          <w:sz w:val="32"/>
          <w:szCs w:val="32"/>
          <w:lang w:bidi="ar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  <w:lang w:bidi="ar"/>
        </w:rPr>
        <w:t>操作步骤如下所示：</w:t>
      </w:r>
    </w:p>
    <w:p>
      <w:pPr>
        <w:widowControl/>
        <w:jc w:val="left"/>
        <w:rPr>
          <w:rFonts w:hint="eastAsia" w:ascii="仿宋_GB2312" w:hAnsi="宋体" w:eastAsia="仿宋_GB2312" w:cs="宋体"/>
          <w:kern w:val="0"/>
          <w:sz w:val="32"/>
          <w:szCs w:val="32"/>
          <w:lang w:bidi="ar"/>
        </w:rPr>
      </w:pP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114300" distR="114300">
            <wp:extent cx="5631180" cy="2447925"/>
            <wp:effectExtent l="0" t="0" r="7620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114300" distR="114300">
            <wp:extent cx="5602605" cy="2434590"/>
            <wp:effectExtent l="0" t="0" r="17145" b="381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2605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114300" distR="114300">
            <wp:extent cx="5648960" cy="2341880"/>
            <wp:effectExtent l="0" t="0" r="8890" b="127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8960" cy="2341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hAnsi="宋体" w:eastAsia="仿宋_GB2312" w:cs="宋体"/>
          <w:kern w:val="0"/>
          <w:sz w:val="32"/>
          <w:szCs w:val="32"/>
          <w:lang w:bidi="ar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114300" distR="114300">
            <wp:extent cx="5767070" cy="2565400"/>
            <wp:effectExtent l="0" t="0" r="5080" b="6350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707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hAnsi="宋体" w:eastAsia="仿宋_GB2312" w:cs="宋体"/>
          <w:kern w:val="0"/>
          <w:sz w:val="32"/>
          <w:szCs w:val="32"/>
          <w:lang w:bidi="ar"/>
        </w:rPr>
      </w:pP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114300" distR="114300">
            <wp:extent cx="5969635" cy="2773680"/>
            <wp:effectExtent l="0" t="0" r="12065" b="7620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9635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114300" distR="114300">
            <wp:extent cx="5892800" cy="2659380"/>
            <wp:effectExtent l="0" t="0" r="12700" b="7620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2659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114300" distR="114300">
            <wp:extent cx="5755005" cy="2654300"/>
            <wp:effectExtent l="0" t="0" r="17145" b="12700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hAnsi="宋体" w:eastAsia="仿宋_GB2312" w:cs="宋体"/>
          <w:kern w:val="0"/>
          <w:sz w:val="32"/>
          <w:szCs w:val="32"/>
          <w:lang w:bidi="ar"/>
        </w:rPr>
      </w:pPr>
    </w:p>
    <w:p>
      <w:pPr>
        <w:widowControl/>
        <w:jc w:val="left"/>
        <w:rPr>
          <w:rFonts w:hint="eastAsia" w:ascii="仿宋_GB2312" w:hAnsi="宋体" w:eastAsia="仿宋_GB2312" w:cs="宋体"/>
          <w:kern w:val="0"/>
          <w:sz w:val="32"/>
          <w:szCs w:val="32"/>
          <w:lang w:bidi="ar"/>
        </w:rPr>
      </w:pPr>
    </w:p>
    <w:p>
      <w:pPr>
        <w:widowControl/>
        <w:ind w:firstLine="640" w:firstLineChars="200"/>
        <w:jc w:val="left"/>
        <w:rPr>
          <w:rFonts w:hint="eastAsia" w:ascii="仿宋_GB2312" w:hAnsi="宋体" w:eastAsia="仿宋_GB2312" w:cs="宋体"/>
          <w:kern w:val="0"/>
          <w:sz w:val="32"/>
          <w:szCs w:val="32"/>
          <w:lang w:bidi="ar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  <w:lang w:bidi="ar"/>
        </w:rPr>
        <w:t>下图可以使用人使用单位每一条都维护，如果一个验收单有多条资产，使用人或者其他信息是一样的，可以选择批量赋值进行批量维护。</w:t>
      </w: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114300" distR="114300">
            <wp:extent cx="5749925" cy="2646045"/>
            <wp:effectExtent l="0" t="0" r="3175" b="1905"/>
            <wp:docPr id="17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646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hAnsi="宋体" w:eastAsia="仿宋_GB2312" w:cs="宋体"/>
          <w:kern w:val="0"/>
          <w:sz w:val="32"/>
          <w:szCs w:val="32"/>
          <w:lang w:bidi="ar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114300" distR="114300">
            <wp:extent cx="5761355" cy="2646680"/>
            <wp:effectExtent l="0" t="0" r="10795" b="1270"/>
            <wp:docPr id="18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646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640" w:firstLineChars="200"/>
        <w:jc w:val="left"/>
        <w:rPr>
          <w:rFonts w:hint="eastAsia" w:ascii="仿宋_GB2312" w:hAnsi="宋体" w:eastAsia="仿宋_GB2312" w:cs="宋体"/>
          <w:kern w:val="0"/>
          <w:sz w:val="32"/>
          <w:szCs w:val="32"/>
          <w:lang w:bidi="ar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  <w:lang w:bidi="ar"/>
        </w:rPr>
        <w:t>保存提交后资产管理员老师的建账就完成，需要向归口审核员汇报通过。</w:t>
      </w:r>
    </w:p>
    <w:p>
      <w:pPr>
        <w:widowControl/>
        <w:numPr>
          <w:ilvl w:val="0"/>
          <w:numId w:val="1"/>
        </w:numPr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资产管理员变动资产。</w:t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操作如下：</w:t>
      </w: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114300" distR="114300">
            <wp:extent cx="5104130" cy="2339975"/>
            <wp:effectExtent l="0" t="0" r="1270" b="3175"/>
            <wp:docPr id="19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04130" cy="2339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114300" distR="114300">
            <wp:extent cx="5643245" cy="2484120"/>
            <wp:effectExtent l="0" t="0" r="14605" b="11430"/>
            <wp:docPr id="20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43245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114300" distR="114300">
            <wp:extent cx="5612130" cy="2367280"/>
            <wp:effectExtent l="0" t="0" r="7620" b="13970"/>
            <wp:docPr id="21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67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114300" distR="114300">
            <wp:extent cx="5507990" cy="2513330"/>
            <wp:effectExtent l="0" t="0" r="16510" b="1270"/>
            <wp:docPr id="22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07990" cy="2513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114300" distR="114300">
            <wp:extent cx="5596890" cy="2611755"/>
            <wp:effectExtent l="0" t="0" r="3810" b="17145"/>
            <wp:docPr id="23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96890" cy="2611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114300" distR="114300">
            <wp:extent cx="5570220" cy="2548890"/>
            <wp:effectExtent l="0" t="0" r="11430" b="3810"/>
            <wp:docPr id="24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rcRect b="-17575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2548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项目变动提交完成后通知归口审核员进行审核。</w:t>
      </w: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</w:p>
    <w:p>
      <w:pPr>
        <w:widowControl/>
        <w:numPr>
          <w:ilvl w:val="0"/>
          <w:numId w:val="1"/>
        </w:numPr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资产管理员单价变动</w:t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操作说明：</w:t>
      </w: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114300" distR="114300">
            <wp:extent cx="5093970" cy="2350135"/>
            <wp:effectExtent l="0" t="0" r="11430" b="12065"/>
            <wp:docPr id="25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93970" cy="235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114300" distR="114300">
            <wp:extent cx="5099050" cy="2356485"/>
            <wp:effectExtent l="0" t="0" r="6350" b="5715"/>
            <wp:docPr id="26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2356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114300" distR="114300">
            <wp:extent cx="5086350" cy="2339340"/>
            <wp:effectExtent l="0" t="0" r="0" b="3810"/>
            <wp:docPr id="27" name="图片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114300" distR="114300">
            <wp:extent cx="5106670" cy="2289175"/>
            <wp:effectExtent l="0" t="0" r="17780" b="15875"/>
            <wp:docPr id="28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06670" cy="228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114300" distR="114300">
            <wp:extent cx="5087620" cy="2367280"/>
            <wp:effectExtent l="0" t="0" r="17780" b="13970"/>
            <wp:docPr id="29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87620" cy="2367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</w:p>
    <w:p>
      <w:pPr>
        <w:widowControl/>
        <w:numPr>
          <w:ilvl w:val="0"/>
          <w:numId w:val="1"/>
        </w:numPr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资产管理员资产处置</w:t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操作如下：</w:t>
      </w: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114300" distR="114300">
            <wp:extent cx="5186045" cy="2212340"/>
            <wp:effectExtent l="0" t="0" r="14605" b="16510"/>
            <wp:docPr id="30" name="图片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86045" cy="2212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114300" distR="114300">
            <wp:extent cx="4977130" cy="2298065"/>
            <wp:effectExtent l="0" t="0" r="13970" b="6985"/>
            <wp:docPr id="31" name="图片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77130" cy="2298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114300" distR="114300">
            <wp:extent cx="5012690" cy="2349500"/>
            <wp:effectExtent l="0" t="0" r="16510" b="1270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1269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114300" distR="114300">
            <wp:extent cx="4988560" cy="2372360"/>
            <wp:effectExtent l="0" t="0" r="2540" b="8890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88560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保存提交没有错误后通知归口审核人员进行审核。</w:t>
      </w: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bookmarkStart w:id="0" w:name="_Toc507312030"/>
      <w:r>
        <w:rPr>
          <w:rFonts w:hint="eastAsia" w:ascii="仿宋_GB2312" w:eastAsia="仿宋_GB2312"/>
          <w:sz w:val="32"/>
          <w:szCs w:val="32"/>
        </w:rPr>
        <w:t>查询</w:t>
      </w:r>
      <w:bookmarkEnd w:id="0"/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为方便用户对固定资产基本信息的各种查询及筛选，本系统设置了验收单查询、资产查询、资产变动查询、资产处置查询、资产分类查询、实验室查询、附件查询等功能。</w:t>
      </w: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查询窗口常用的工具按钮为【查看】、【打印预览】、【打印列表】、【列选择】、【综合查询】、【跟踪查询】、【导出Excel】、【组合排序】、【汇总分析】，如图6-1所示。</w:t>
      </w:r>
    </w:p>
    <w:p>
      <w:pPr>
        <w:jc w:val="center"/>
        <w:rPr>
          <w:rFonts w:hint="eastAsia" w:ascii="仿宋_GB2312" w:eastAsia="仿宋_GB2312" w:cs="微软雅黑"/>
          <w:color w:val="004080"/>
          <w:kern w:val="0"/>
          <w:sz w:val="32"/>
          <w:szCs w:val="32"/>
          <w:lang w:val="zh-CN"/>
        </w:rPr>
      </w:pPr>
      <w:r>
        <w:rPr>
          <w:rFonts w:hint="eastAsia" w:ascii="仿宋_GB2312" w:eastAsia="仿宋_GB2312" w:cs="微软雅黑"/>
          <w:color w:val="004080"/>
          <w:kern w:val="0"/>
          <w:sz w:val="32"/>
          <w:szCs w:val="32"/>
        </w:rPr>
        <w:drawing>
          <wp:inline distT="0" distB="0" distL="114300" distR="114300">
            <wp:extent cx="5101590" cy="2503170"/>
            <wp:effectExtent l="0" t="0" r="3810" b="1143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01590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宋体" w:eastAsia="仿宋_GB2312"/>
          <w:color w:val="000000"/>
          <w:sz w:val="32"/>
          <w:szCs w:val="32"/>
        </w:rPr>
      </w:pPr>
      <w:r>
        <w:rPr>
          <w:rFonts w:hint="eastAsia" w:ascii="仿宋_GB2312" w:hAnsi="宋体" w:eastAsia="仿宋_GB2312" w:cs="微软雅黑"/>
          <w:color w:val="000000"/>
          <w:kern w:val="0"/>
          <w:sz w:val="32"/>
          <w:szCs w:val="32"/>
          <w:lang w:val="zh-CN"/>
        </w:rPr>
        <w:t>图6-1</w:t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已处置信息查询、变动单信息查询、处置单信息查询提供了【跟踪查询】功能。</w:t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用户可查询的记录范围：登录操作员有权管理的单位的资产信息。</w:t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下面对工具栏中的各按钮功能进行介绍。</w:t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【查看】：用于查看选中的一条记录的相关信息，如验收单信息、资产卡片信息、变动、处置报告单信息等。</w:t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【打印预览】：用于当前选中的固定资产验收单/管理卡片/变动报告单/处置报告单的预览和打印。</w:t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【导出Excel】：可以将数据列表中的数据导出，保存为Excel的文件格式。</w:t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【高级查询】：输入查找条件进行查找后，符合条件的信息将会显示在数据列表中。（具体操作参见第四章第三节）</w:t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【汇总分析】：按照一定条件，汇总当前查询窗口的数据，还提供自定义条件汇总分析功能。</w:t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在资产信息查询窗口中，选择一条资产信息，点击资产名称下的蓝色链接会弹出资产的卡片详细信息界面，如图6-2所示。</w:t>
      </w:r>
    </w:p>
    <w:p>
      <w:pPr>
        <w:jc w:val="center"/>
        <w:rPr>
          <w:rFonts w:hint="eastAsia" w:ascii="仿宋_GB2312" w:eastAsia="仿宋_GB2312" w:cs="微软雅黑"/>
          <w:color w:val="004080"/>
          <w:kern w:val="0"/>
          <w:sz w:val="32"/>
          <w:szCs w:val="32"/>
          <w:lang w:val="zh-CN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5120640" cy="2611120"/>
            <wp:effectExtent l="0" t="0" r="3810" b="177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宋体" w:eastAsia="仿宋_GB2312"/>
          <w:color w:val="000000"/>
          <w:sz w:val="32"/>
          <w:szCs w:val="32"/>
        </w:rPr>
      </w:pPr>
      <w:r>
        <w:rPr>
          <w:rFonts w:hint="eastAsia" w:ascii="仿宋_GB2312" w:hAnsi="宋体" w:eastAsia="仿宋_GB2312" w:cs="微软雅黑"/>
          <w:color w:val="000000"/>
          <w:kern w:val="0"/>
          <w:sz w:val="32"/>
          <w:szCs w:val="32"/>
          <w:lang w:val="zh-CN"/>
        </w:rPr>
        <w:t>图6-</w:t>
      </w:r>
      <w:r>
        <w:rPr>
          <w:rFonts w:hint="eastAsia" w:ascii="仿宋_GB2312" w:hAnsi="宋体" w:eastAsia="仿宋_GB2312" w:cs="微软雅黑"/>
          <w:color w:val="000000"/>
          <w:kern w:val="0"/>
          <w:sz w:val="32"/>
          <w:szCs w:val="32"/>
        </w:rPr>
        <w:t>2</w:t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在验收单信息查询窗口中选择一条验收单信息，点击验收单号的蓝色链接会弹出验收单的详细信息界面，如图6-3所示。</w:t>
      </w:r>
    </w:p>
    <w:p>
      <w:pPr>
        <w:jc w:val="center"/>
        <w:rPr>
          <w:rFonts w:hint="eastAsia" w:ascii="仿宋_GB2312" w:eastAsia="仿宋_GB2312" w:cs="微软雅黑"/>
          <w:color w:val="004080"/>
          <w:kern w:val="0"/>
          <w:sz w:val="32"/>
          <w:szCs w:val="32"/>
          <w:lang w:val="zh-CN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5120640" cy="2611120"/>
            <wp:effectExtent l="0" t="0" r="3810" b="1778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宋体" w:eastAsia="仿宋_GB2312" w:cs="微软雅黑"/>
          <w:color w:val="000000"/>
          <w:kern w:val="0"/>
          <w:sz w:val="32"/>
          <w:szCs w:val="32"/>
          <w:lang w:val="zh-CN"/>
        </w:rPr>
      </w:pPr>
      <w:r>
        <w:rPr>
          <w:rFonts w:hint="eastAsia" w:ascii="仿宋_GB2312" w:hAnsi="宋体" w:eastAsia="仿宋_GB2312" w:cs="微软雅黑"/>
          <w:color w:val="000000"/>
          <w:kern w:val="0"/>
          <w:sz w:val="32"/>
          <w:szCs w:val="32"/>
          <w:lang w:val="zh-CN"/>
        </w:rPr>
        <w:t>图6-</w:t>
      </w:r>
      <w:r>
        <w:rPr>
          <w:rFonts w:hint="eastAsia" w:ascii="仿宋_GB2312" w:hAnsi="宋体" w:eastAsia="仿宋_GB2312" w:cs="微软雅黑"/>
          <w:color w:val="000000"/>
          <w:kern w:val="0"/>
          <w:sz w:val="32"/>
          <w:szCs w:val="32"/>
        </w:rPr>
        <w:t>3</w:t>
      </w:r>
    </w:p>
    <w:p>
      <w:pPr>
        <w:spacing w:line="380" w:lineRule="exact"/>
        <w:ind w:firstLine="646" w:firstLineChars="202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下面以资产信息查询、按使用单位查询介绍查询功能的操作方式。</w:t>
      </w:r>
    </w:p>
    <w:p>
      <w:pPr>
        <w:numPr>
          <w:ilvl w:val="0"/>
          <w:numId w:val="2"/>
        </w:numPr>
        <w:spacing w:line="380" w:lineRule="exact"/>
        <w:ind w:left="0" w:firstLine="643" w:firstLineChars="200"/>
        <w:jc w:val="left"/>
        <w:rPr>
          <w:rFonts w:hint="eastAsia"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资产信息查询</w:t>
      </w:r>
    </w:p>
    <w:p>
      <w:pPr>
        <w:spacing w:line="380" w:lineRule="exact"/>
        <w:ind w:firstLine="42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选择</w:t>
      </w:r>
      <w:r>
        <w:rPr>
          <w:rFonts w:hint="eastAsia" w:ascii="仿宋_GB2312" w:eastAsia="仿宋_GB2312"/>
          <w:b/>
          <w:sz w:val="32"/>
          <w:szCs w:val="32"/>
          <w:bdr w:val="single" w:color="auto" w:sz="4" w:space="0"/>
          <w:shd w:val="pct10" w:color="auto" w:fill="FFFFFF"/>
        </w:rPr>
        <w:t>查询</w:t>
      </w:r>
      <w:r>
        <w:rPr>
          <w:rFonts w:hint="eastAsia" w:ascii="仿宋_GB2312" w:eastAsia="仿宋_GB2312"/>
          <w:sz w:val="32"/>
          <w:szCs w:val="32"/>
        </w:rPr>
        <w:t>—</w:t>
      </w:r>
      <w:r>
        <w:rPr>
          <w:rFonts w:hint="eastAsia" w:ascii="仿宋_GB2312" w:eastAsia="仿宋_GB2312"/>
          <w:b/>
          <w:sz w:val="32"/>
          <w:szCs w:val="32"/>
          <w:bdr w:val="single" w:color="auto" w:sz="4" w:space="0"/>
          <w:shd w:val="pct10" w:color="auto" w:fill="FFFFFF"/>
        </w:rPr>
        <w:t>资产查询</w:t>
      </w:r>
      <w:r>
        <w:rPr>
          <w:rFonts w:hint="eastAsia" w:ascii="仿宋_GB2312" w:eastAsia="仿宋_GB2312"/>
          <w:sz w:val="32"/>
          <w:szCs w:val="32"/>
        </w:rPr>
        <w:t>—</w:t>
      </w:r>
      <w:r>
        <w:rPr>
          <w:rFonts w:hint="eastAsia" w:ascii="仿宋_GB2312" w:eastAsia="仿宋_GB2312"/>
          <w:b/>
          <w:sz w:val="32"/>
          <w:szCs w:val="32"/>
          <w:bdr w:val="single" w:color="auto" w:sz="4" w:space="0"/>
          <w:shd w:val="pct10" w:color="auto" w:fill="FFFFFF"/>
        </w:rPr>
        <w:t>资产信息查询</w:t>
      </w:r>
      <w:r>
        <w:rPr>
          <w:rFonts w:hint="eastAsia" w:ascii="仿宋_GB2312" w:eastAsia="仿宋_GB2312"/>
          <w:sz w:val="32"/>
          <w:szCs w:val="32"/>
        </w:rPr>
        <w:t>，进入资产查询选择条件界面，如图6-5所示。</w:t>
      </w:r>
    </w:p>
    <w:p>
      <w:pPr>
        <w:jc w:val="center"/>
        <w:rPr>
          <w:rFonts w:hint="eastAsia" w:ascii="仿宋_GB2312" w:eastAsia="仿宋_GB2312" w:cs="微软雅黑"/>
          <w:color w:val="004080"/>
          <w:kern w:val="0"/>
          <w:sz w:val="32"/>
          <w:szCs w:val="32"/>
          <w:lang w:val="zh-CN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5120640" cy="2611120"/>
            <wp:effectExtent l="0" t="0" r="3810" b="1778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宋体" w:eastAsia="仿宋_GB2312"/>
          <w:color w:val="000000"/>
          <w:sz w:val="32"/>
          <w:szCs w:val="32"/>
        </w:rPr>
      </w:pPr>
      <w:r>
        <w:rPr>
          <w:rFonts w:hint="eastAsia" w:ascii="仿宋_GB2312" w:hAnsi="宋体" w:eastAsia="仿宋_GB2312" w:cs="微软雅黑"/>
          <w:color w:val="000000"/>
          <w:kern w:val="0"/>
          <w:sz w:val="32"/>
          <w:szCs w:val="32"/>
          <w:lang w:val="zh-CN"/>
        </w:rPr>
        <w:t>图6-</w:t>
      </w:r>
      <w:r>
        <w:rPr>
          <w:rFonts w:hint="eastAsia" w:ascii="仿宋_GB2312" w:hAnsi="宋体" w:eastAsia="仿宋_GB2312" w:cs="微软雅黑"/>
          <w:color w:val="000000"/>
          <w:kern w:val="0"/>
          <w:sz w:val="32"/>
          <w:szCs w:val="32"/>
        </w:rPr>
        <w:t>4</w:t>
      </w:r>
    </w:p>
    <w:p>
      <w:pPr>
        <w:widowControl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窗口中左、右两个部分，左边是登陆人权限下的所有单位，点击任意一个单位，筛选出该单位下所有的资产。右边是列表页面，右侧的页面分为三个部分，上面是单据状态、中间是查询条件，下面是按条件筛选出来的信息。</w:t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【查询】：输入资产编号、资产名称，点击【查询】按钮，可以筛选出需要的信息。</w:t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【高级查询】：点击【高级查询】，会出现一个下拉选框，里面是查询条件，输入查询条件，点击查询，可以查询相关信息。</w:t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按使用单位查询</w:t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按使用单位查询，顾名思义就是按照资产的使用单位查询资产信息。</w:t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选择查询—资产分类查询—按使用单位查询，进入按使用单位查询界面，如图6-5所示。左边为当前操作员有权管理的单位树，右边为资产信息列表，列表中的数据随着左边单位树当前选中项的改变而改变。</w:t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操作方法：点击单位树中某节点，右边将显示该单位下操作员有权管理的资产。</w:t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查询指定单位的资产：在单位树上方的编辑框中输入指定的单位编号，点击搜索按钮，列表中即可显示指定单位下的所有权限内的资产，按存放地点查询、按使用人查询、按资产分类查询的操作方式及界面都参照按使用单位查询，</w:t>
      </w:r>
    </w:p>
    <w:p>
      <w:pPr>
        <w:spacing w:line="380" w:lineRule="exact"/>
        <w:ind w:firstLine="646" w:firstLineChars="202"/>
        <w:rPr>
          <w:rFonts w:hint="eastAsia" w:ascii="仿宋_GB2312" w:eastAsia="仿宋_GB2312"/>
          <w:sz w:val="32"/>
          <w:szCs w:val="32"/>
        </w:rPr>
      </w:pPr>
    </w:p>
    <w:p>
      <w:pPr>
        <w:spacing w:line="380" w:lineRule="exact"/>
        <w:ind w:firstLine="646" w:firstLineChars="202"/>
        <w:rPr>
          <w:rFonts w:hint="eastAsia" w:ascii="仿宋_GB2312" w:eastAsia="仿宋_GB2312"/>
          <w:sz w:val="32"/>
          <w:szCs w:val="32"/>
        </w:rPr>
      </w:pPr>
    </w:p>
    <w:p>
      <w:pPr>
        <w:spacing w:line="380" w:lineRule="exact"/>
        <w:ind w:firstLine="646" w:firstLineChars="202"/>
        <w:rPr>
          <w:rFonts w:hint="eastAsia" w:ascii="仿宋_GB2312" w:eastAsia="仿宋_GB2312"/>
          <w:sz w:val="32"/>
          <w:szCs w:val="32"/>
        </w:rPr>
      </w:pPr>
    </w:p>
    <w:p>
      <w:pPr>
        <w:spacing w:line="380" w:lineRule="exact"/>
        <w:ind w:firstLine="646" w:firstLineChars="202"/>
        <w:rPr>
          <w:rFonts w:hint="eastAsia" w:ascii="仿宋_GB2312" w:eastAsia="仿宋_GB2312"/>
          <w:sz w:val="32"/>
          <w:szCs w:val="32"/>
        </w:rPr>
      </w:pPr>
    </w:p>
    <w:p>
      <w:pPr>
        <w:spacing w:line="380" w:lineRule="exact"/>
        <w:ind w:firstLine="646" w:firstLineChars="202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207645</wp:posOffset>
            </wp:positionV>
            <wp:extent cx="5120640" cy="2611755"/>
            <wp:effectExtent l="0" t="0" r="3810" b="17145"/>
            <wp:wrapNone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80" w:lineRule="exact"/>
        <w:ind w:firstLine="646" w:firstLineChars="202"/>
        <w:rPr>
          <w:rFonts w:hint="eastAsia" w:ascii="仿宋_GB2312" w:eastAsia="仿宋_GB2312"/>
          <w:sz w:val="32"/>
          <w:szCs w:val="32"/>
        </w:rPr>
      </w:pPr>
    </w:p>
    <w:p>
      <w:pPr>
        <w:spacing w:line="380" w:lineRule="exact"/>
        <w:ind w:firstLine="646" w:firstLineChars="202"/>
        <w:rPr>
          <w:rFonts w:hint="eastAsia" w:ascii="仿宋_GB2312" w:eastAsia="仿宋_GB2312"/>
          <w:sz w:val="32"/>
          <w:szCs w:val="32"/>
        </w:rPr>
      </w:pPr>
    </w:p>
    <w:p>
      <w:pPr>
        <w:spacing w:line="380" w:lineRule="exact"/>
        <w:ind w:firstLine="646" w:firstLineChars="202"/>
        <w:rPr>
          <w:rFonts w:hint="eastAsia" w:ascii="仿宋_GB2312" w:eastAsia="仿宋_GB2312"/>
          <w:sz w:val="32"/>
          <w:szCs w:val="32"/>
        </w:rPr>
      </w:pPr>
    </w:p>
    <w:p>
      <w:pPr>
        <w:spacing w:line="380" w:lineRule="exact"/>
        <w:ind w:firstLine="646" w:firstLineChars="202"/>
        <w:rPr>
          <w:rFonts w:hint="eastAsia" w:ascii="仿宋_GB2312" w:eastAsia="仿宋_GB2312"/>
          <w:sz w:val="32"/>
          <w:szCs w:val="32"/>
        </w:rPr>
      </w:pPr>
    </w:p>
    <w:p>
      <w:pPr>
        <w:spacing w:line="380" w:lineRule="exact"/>
        <w:ind w:firstLine="646" w:firstLineChars="202"/>
        <w:rPr>
          <w:rFonts w:hint="eastAsia" w:ascii="仿宋_GB2312" w:eastAsia="仿宋_GB2312"/>
          <w:sz w:val="32"/>
          <w:szCs w:val="32"/>
        </w:rPr>
      </w:pPr>
    </w:p>
    <w:p>
      <w:pPr>
        <w:spacing w:line="380" w:lineRule="exact"/>
        <w:ind w:firstLine="646" w:firstLineChars="202"/>
        <w:rPr>
          <w:rFonts w:hint="eastAsia" w:ascii="仿宋_GB2312" w:eastAsia="仿宋_GB2312"/>
          <w:sz w:val="32"/>
          <w:szCs w:val="32"/>
        </w:rPr>
      </w:pPr>
    </w:p>
    <w:p>
      <w:pPr>
        <w:spacing w:line="380" w:lineRule="exact"/>
        <w:ind w:firstLine="646" w:firstLineChars="202"/>
        <w:rPr>
          <w:rFonts w:hint="eastAsia" w:ascii="仿宋_GB2312" w:eastAsia="仿宋_GB2312"/>
          <w:sz w:val="32"/>
          <w:szCs w:val="32"/>
        </w:rPr>
      </w:pPr>
    </w:p>
    <w:p>
      <w:pPr>
        <w:spacing w:line="38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380" w:lineRule="exact"/>
        <w:jc w:val="center"/>
        <w:rPr>
          <w:rFonts w:hint="eastAsia" w:ascii="仿宋_GB2312" w:hAnsi="宋体" w:eastAsia="仿宋_GB2312"/>
          <w:sz w:val="32"/>
          <w:szCs w:val="32"/>
        </w:rPr>
      </w:pPr>
    </w:p>
    <w:p>
      <w:pPr>
        <w:spacing w:line="380" w:lineRule="exact"/>
        <w:jc w:val="center"/>
        <w:rPr>
          <w:rFonts w:hint="eastAsia" w:ascii="仿宋_GB2312" w:hAnsi="宋体" w:eastAsia="仿宋_GB2312"/>
          <w:sz w:val="32"/>
          <w:szCs w:val="32"/>
        </w:rPr>
      </w:pPr>
    </w:p>
    <w:p>
      <w:pPr>
        <w:spacing w:line="380" w:lineRule="exact"/>
        <w:rPr>
          <w:rFonts w:hint="eastAsia" w:ascii="仿宋_GB2312" w:hAnsi="宋体" w:eastAsia="仿宋_GB2312"/>
          <w:sz w:val="32"/>
          <w:szCs w:val="32"/>
        </w:rPr>
      </w:pPr>
    </w:p>
    <w:p>
      <w:pPr>
        <w:spacing w:line="380" w:lineRule="exact"/>
        <w:jc w:val="center"/>
        <w:rPr>
          <w:rFonts w:hint="eastAsia" w:ascii="仿宋_GB2312" w:eastAsia="仿宋_GB2312"/>
          <w:b/>
          <w:bCs/>
          <w:color w:val="000000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图6-5</w:t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资产处置信息查询：</w:t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查询列出权限单位和大类范围内所有已处置资产信息。</w:t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闲置资产查询：类似于资产信息查询，选择权限内的资产大类后可生成权限单位内的现状为多余、待修、待报废所有闲置资产信息，查询方式与资产信息查询类似。</w:t>
      </w:r>
    </w:p>
    <w:p>
      <w:pPr>
        <w:spacing w:line="380" w:lineRule="exact"/>
        <w:ind w:firstLine="42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102235</wp:posOffset>
            </wp:positionV>
            <wp:extent cx="5120640" cy="2611755"/>
            <wp:effectExtent l="0" t="0" r="3810" b="17145"/>
            <wp:wrapNone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80" w:lineRule="exact"/>
        <w:ind w:firstLine="420"/>
        <w:rPr>
          <w:rFonts w:hint="eastAsia" w:ascii="仿宋_GB2312" w:eastAsia="仿宋_GB2312"/>
          <w:sz w:val="32"/>
          <w:szCs w:val="32"/>
        </w:rPr>
      </w:pPr>
    </w:p>
    <w:p>
      <w:pPr>
        <w:spacing w:line="380" w:lineRule="exact"/>
        <w:ind w:firstLine="420"/>
        <w:rPr>
          <w:rFonts w:hint="eastAsia" w:ascii="仿宋_GB2312" w:eastAsia="仿宋_GB2312"/>
          <w:sz w:val="32"/>
          <w:szCs w:val="32"/>
        </w:rPr>
      </w:pPr>
    </w:p>
    <w:p>
      <w:pPr>
        <w:spacing w:line="380" w:lineRule="exact"/>
        <w:ind w:firstLine="420"/>
        <w:rPr>
          <w:rFonts w:hint="eastAsia" w:ascii="仿宋_GB2312" w:eastAsia="仿宋_GB2312"/>
          <w:sz w:val="32"/>
          <w:szCs w:val="32"/>
        </w:rPr>
      </w:pPr>
    </w:p>
    <w:p>
      <w:pPr>
        <w:spacing w:line="380" w:lineRule="exact"/>
        <w:ind w:firstLine="420"/>
        <w:rPr>
          <w:rFonts w:hint="eastAsia" w:ascii="仿宋_GB2312" w:eastAsia="仿宋_GB2312"/>
          <w:sz w:val="32"/>
          <w:szCs w:val="32"/>
        </w:rPr>
      </w:pPr>
    </w:p>
    <w:p>
      <w:pPr>
        <w:spacing w:line="380" w:lineRule="exact"/>
        <w:ind w:firstLine="420"/>
        <w:rPr>
          <w:rFonts w:hint="eastAsia" w:ascii="仿宋_GB2312" w:eastAsia="仿宋_GB2312"/>
          <w:sz w:val="32"/>
          <w:szCs w:val="32"/>
        </w:rPr>
      </w:pPr>
    </w:p>
    <w:p>
      <w:pPr>
        <w:spacing w:line="380" w:lineRule="exact"/>
        <w:ind w:firstLine="420"/>
        <w:rPr>
          <w:rFonts w:hint="eastAsia" w:ascii="仿宋_GB2312" w:eastAsia="仿宋_GB2312"/>
          <w:sz w:val="32"/>
          <w:szCs w:val="32"/>
        </w:rPr>
      </w:pPr>
    </w:p>
    <w:p>
      <w:pPr>
        <w:spacing w:line="380" w:lineRule="exact"/>
        <w:ind w:firstLine="420"/>
        <w:rPr>
          <w:rFonts w:hint="eastAsia" w:ascii="仿宋_GB2312" w:eastAsia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C769C"/>
    <w:multiLevelType w:val="multilevel"/>
    <w:tmpl w:val="183C769C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395386C4"/>
    <w:multiLevelType w:val="singleLevel"/>
    <w:tmpl w:val="395386C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250842"/>
    <w:rsid w:val="001C09C0"/>
    <w:rsid w:val="00243C01"/>
    <w:rsid w:val="00637988"/>
    <w:rsid w:val="00A82CA3"/>
    <w:rsid w:val="00E26EE2"/>
    <w:rsid w:val="00E56F09"/>
    <w:rsid w:val="015E5177"/>
    <w:rsid w:val="06D6501F"/>
    <w:rsid w:val="07661814"/>
    <w:rsid w:val="15B459B8"/>
    <w:rsid w:val="1F250842"/>
    <w:rsid w:val="252D7426"/>
    <w:rsid w:val="3AE03B17"/>
    <w:rsid w:val="413E6F79"/>
    <w:rsid w:val="46D2130E"/>
    <w:rsid w:val="6B724684"/>
    <w:rsid w:val="7E766E7C"/>
    <w:rsid w:val="7F5A5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8"/>
    <w:qFormat/>
    <w:uiPriority w:val="0"/>
    <w:rPr>
      <w:sz w:val="18"/>
      <w:szCs w:val="18"/>
    </w:rPr>
  </w:style>
  <w:style w:type="paragraph" w:styleId="4">
    <w:name w:val="Subtitle"/>
    <w:basedOn w:val="1"/>
    <w:next w:val="1"/>
    <w:qFormat/>
    <w:uiPriority w:val="0"/>
    <w:pPr>
      <w:spacing w:before="240" w:after="60" w:line="312" w:lineRule="auto"/>
      <w:jc w:val="center"/>
      <w:outlineLvl w:val="1"/>
    </w:pPr>
    <w:rPr>
      <w:rFonts w:ascii="Cambria" w:hAnsi="Cambria" w:eastAsia="黑体"/>
      <w:b/>
      <w:bCs/>
      <w:kern w:val="28"/>
      <w:sz w:val="32"/>
      <w:szCs w:val="32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批注框文本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15</Pages>
  <Words>258</Words>
  <Characters>1477</Characters>
  <Lines>12</Lines>
  <Paragraphs>3</Paragraphs>
  <TotalTime>44</TotalTime>
  <ScaleCrop>false</ScaleCrop>
  <LinksUpToDate>false</LinksUpToDate>
  <CharactersWithSpaces>1732</CharactersWithSpaces>
  <Application>WPS Office_11.3.0.8775_F1E327BC-269C-435d-A152-05C5408002CA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2020-03-31T08:30:00Z</dcterms:created>
  <dc:creator>Administrator</dc:creator>
  <cp:lastModifiedBy>古道西风</cp:lastModifiedBy>
  <cp:lastPrinted>2020-04-13T01:44:00Z</cp:lastPrinted>
  <dcterms:modified xsi:type="dcterms:W3CDTF">2020-04-15T02:50:45Z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